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78A9FEA6"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POST/DYS/OR/OZ/</w:t>
      </w:r>
      <w:r w:rsidR="00B81AA8">
        <w:rPr>
          <w:rFonts w:cs="Calibri"/>
          <w:caps/>
          <w:color w:val="auto"/>
          <w:kern w:val="28"/>
        </w:rPr>
        <w:t>02514</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31955425" w:rsidR="000F1B25" w:rsidRPr="00B81AA8" w:rsidRDefault="00BF49FD" w:rsidP="00B81AA8">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3F68AB" w:rsidRPr="003F68AB">
        <w:rPr>
          <w:rFonts w:ascii="Calibri" w:hAnsi="Calibri" w:cs="Arial"/>
          <w:b/>
          <w:i/>
          <w:snapToGrid w:val="0"/>
          <w:color w:val="000000"/>
          <w:sz w:val="22"/>
          <w:szCs w:val="22"/>
        </w:rPr>
        <w:t>Wymiana stolarki okiennej w budynku usług technicznych Rejonu Energetycznego Sanok – ściana wschodnia budynku</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bookmarkStart w:id="5" w:name="_GoBack"/>
      <w:bookmarkEnd w:id="5"/>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1FCA2" w14:textId="77777777" w:rsidR="00697E6D" w:rsidRDefault="00697E6D" w:rsidP="004A302B">
      <w:pPr>
        <w:spacing w:line="240" w:lineRule="auto"/>
      </w:pPr>
      <w:r>
        <w:separator/>
      </w:r>
    </w:p>
  </w:endnote>
  <w:endnote w:type="continuationSeparator" w:id="0">
    <w:p w14:paraId="662509F1" w14:textId="77777777" w:rsidR="00697E6D" w:rsidRDefault="00697E6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46AF" w14:textId="77777777" w:rsidR="00697E6D" w:rsidRDefault="00697E6D" w:rsidP="004A302B">
      <w:pPr>
        <w:spacing w:line="240" w:lineRule="auto"/>
      </w:pPr>
      <w:r>
        <w:separator/>
      </w:r>
    </w:p>
  </w:footnote>
  <w:footnote w:type="continuationSeparator" w:id="0">
    <w:p w14:paraId="485DE863" w14:textId="77777777" w:rsidR="00697E6D" w:rsidRDefault="00697E6D"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8AB"/>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97E6D"/>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1AA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POST/DYS/OR/OZ/02514/2025                         </dmsv2SWPP2ObjectNumber>
    <dmsv2SWPP2SumMD5 xmlns="http://schemas.microsoft.com/sharepoint/v3">2fdf421f5aa197a8453df4df32342108</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22860054</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XD3KHSRJV2AP-1441292327-7609</_dlc_DocId>
    <_dlc_DocIdUrl xmlns="a19cb1c7-c5c7-46d4-85ae-d83685407bba">
      <Url>https://swpp2.dms.gkpge.pl/sites/38/_layouts/15/DocIdRedir.aspx?ID=XD3KHSRJV2AP-1441292327-7609</Url>
      <Description>XD3KHSRJV2AP-1441292327-7609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E208349-A505-4DCD-B218-FEC88550625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0B76E03-602D-40A9-B5A3-A524F1F82545}">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ABD4560-118E-47F7-8E82-DC0B480D8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1365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12</cp:revision>
  <cp:lastPrinted>2020-02-27T07:25:00Z</cp:lastPrinted>
  <dcterms:created xsi:type="dcterms:W3CDTF">2022-12-16T11:52:00Z</dcterms:created>
  <dcterms:modified xsi:type="dcterms:W3CDTF">2025-07-04T05:56:00Z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76d7ebf6-ab4e-49bb-a8bd-57cc78831d67</vt:lpwstr>
  </property>
</Properties>
</file>